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5" w:rsidRPr="00BD707F" w:rsidRDefault="00A67515"/>
    <w:p w:rsidR="0004476F" w:rsidRPr="0004476F" w:rsidRDefault="00A67515" w:rsidP="0004476F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  <w:lang/>
        </w:rPr>
        <w:t xml:space="preserve">Школски одбор је дана 05.10.2021. год. усвојио </w:t>
      </w:r>
      <w:r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>анекс Школског програма 2020-2024. год.</w:t>
      </w:r>
      <w:r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  <w:lang/>
        </w:rPr>
        <w:t xml:space="preserve">, на предлог </w:t>
      </w:r>
      <w:r w:rsidR="00CB6481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>Тим</w:t>
      </w:r>
      <w:r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  <w:lang/>
        </w:rPr>
        <w:t>а</w:t>
      </w:r>
      <w:r w:rsidR="00CB6481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за развој школског програма и иновације</w:t>
      </w:r>
      <w:r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  <w:lang/>
        </w:rPr>
        <w:t>, а за</w:t>
      </w:r>
      <w:r w:rsidR="00CB6481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за школску 20201/22</w:t>
      </w:r>
      <w:r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  <w:lang/>
        </w:rPr>
        <w:t xml:space="preserve"> год</w:t>
      </w:r>
      <w:r w:rsidR="00CB6481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  <w:r w:rsidR="0047250C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t>Промене се односе на:</w:t>
      </w:r>
      <w:r w:rsidR="0047250C" w:rsidRPr="0004476F">
        <w:rPr>
          <w:rStyle w:val="Strong"/>
          <w:rFonts w:ascii="Times New Roman" w:hAnsi="Times New Roman"/>
          <w:color w:val="212121"/>
          <w:sz w:val="24"/>
          <w:szCs w:val="24"/>
          <w:shd w:val="clear" w:color="auto" w:fill="FFFFFF"/>
        </w:rPr>
        <w:br/>
      </w:r>
      <w:r w:rsidR="0047250C" w:rsidRPr="0004476F">
        <w:rPr>
          <w:rFonts w:ascii="Times New Roman" w:hAnsi="Times New Roman"/>
          <w:b w:val="0"/>
          <w:sz w:val="24"/>
          <w:szCs w:val="24"/>
        </w:rPr>
        <w:t>II део: Назив, врста и трајање програма образовања и васпитања који школа остварује</w:t>
      </w:r>
      <w:r w:rsidR="0047250C" w:rsidRPr="0004476F">
        <w:rPr>
          <w:rFonts w:ascii="Times New Roman" w:hAnsi="Times New Roman"/>
          <w:b w:val="0"/>
          <w:sz w:val="24"/>
          <w:szCs w:val="24"/>
        </w:rPr>
        <w:br/>
        <w:t>III део: Обавезни и изборни предмети и модули по образовним профилима</w:t>
      </w:r>
      <w:r w:rsidR="0047250C" w:rsidRPr="0004476F">
        <w:rPr>
          <w:rFonts w:ascii="Times New Roman" w:hAnsi="Times New Roman"/>
          <w:b w:val="0"/>
          <w:sz w:val="24"/>
          <w:szCs w:val="24"/>
        </w:rPr>
        <w:br/>
        <w:t xml:space="preserve">и допуњен је </w:t>
      </w:r>
      <w:bookmarkStart w:id="0" w:name="_Toc380750762"/>
      <w:bookmarkStart w:id="1" w:name="_Toc43294051"/>
      <w:r w:rsidR="0004476F" w:rsidRPr="0004476F">
        <w:rPr>
          <w:rFonts w:ascii="Times New Roman" w:hAnsi="Times New Roman"/>
          <w:b w:val="0"/>
          <w:sz w:val="24"/>
          <w:szCs w:val="24"/>
        </w:rPr>
        <w:t>VIII део: Програм слободних активности</w:t>
      </w:r>
      <w:bookmarkEnd w:id="0"/>
      <w:bookmarkEnd w:id="1"/>
    </w:p>
    <w:p w:rsidR="00CB6481" w:rsidRDefault="00CB6481" w:rsidP="0047250C">
      <w:pPr>
        <w:rPr>
          <w:rFonts w:cs="Times New Roman"/>
          <w:bCs/>
          <w:kern w:val="32"/>
        </w:rPr>
      </w:pPr>
    </w:p>
    <w:p w:rsidR="0004476F" w:rsidRPr="0047250C" w:rsidRDefault="0004476F" w:rsidP="0047250C">
      <w:pPr>
        <w:rPr>
          <w:rFonts w:cs="Times New Roman"/>
        </w:rPr>
      </w:pPr>
      <w:r>
        <w:rPr>
          <w:rFonts w:cs="Times New Roman"/>
          <w:bCs/>
          <w:kern w:val="32"/>
        </w:rPr>
        <w:t>За школску 2021/22. год. важи следеће:</w:t>
      </w:r>
    </w:p>
    <w:p w:rsidR="0047250C" w:rsidRPr="0047250C" w:rsidRDefault="0047250C" w:rsidP="0047250C">
      <w:pPr>
        <w:pStyle w:val="Heading1"/>
        <w:rPr>
          <w:rFonts w:ascii="Times New Roman" w:hAnsi="Times New Roman"/>
          <w:b w:val="0"/>
          <w:sz w:val="24"/>
          <w:szCs w:val="24"/>
        </w:rPr>
      </w:pPr>
      <w:bookmarkStart w:id="2" w:name="_Toc43294024"/>
      <w:r w:rsidRPr="0047250C">
        <w:rPr>
          <w:rFonts w:ascii="Times New Roman" w:hAnsi="Times New Roman"/>
          <w:b w:val="0"/>
          <w:sz w:val="24"/>
          <w:szCs w:val="24"/>
        </w:rPr>
        <w:t>II део: Назив, врста и трајање програма образовања и васпитања који школа остварује</w:t>
      </w:r>
      <w:bookmarkEnd w:id="2"/>
    </w:p>
    <w:p w:rsidR="0047250C" w:rsidRDefault="0047250C" w:rsidP="004725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2"/>
        <w:gridCol w:w="2527"/>
        <w:gridCol w:w="3177"/>
      </w:tblGrid>
      <w:tr w:rsidR="0047250C" w:rsidRPr="00E705B3" w:rsidTr="00E30B42">
        <w:tc>
          <w:tcPr>
            <w:tcW w:w="9754" w:type="dxa"/>
            <w:gridSpan w:val="3"/>
          </w:tcPr>
          <w:p w:rsidR="0047250C" w:rsidRPr="0060722D" w:rsidRDefault="0047250C" w:rsidP="00E30B42">
            <w:r w:rsidRPr="0060722D">
              <w:t>Подручје рада Машинство и обрада метала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назив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врста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трајање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Машински техничар за комјутерско конструисање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4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Техничар за компјутерско управљање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4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Техничар за компјутерско управљање</w:t>
            </w:r>
          </w:p>
          <w:p w:rsidR="0047250C" w:rsidRPr="0060722D" w:rsidRDefault="0047250C" w:rsidP="00E30B42">
            <w:r w:rsidRPr="0060722D">
              <w:t>(CNC) машина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4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Машинбравар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3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Заваривач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3 године</w:t>
            </w:r>
          </w:p>
        </w:tc>
      </w:tr>
      <w:tr w:rsidR="0047250C" w:rsidRPr="00E705B3" w:rsidTr="00E30B42">
        <w:tc>
          <w:tcPr>
            <w:tcW w:w="9754" w:type="dxa"/>
            <w:gridSpan w:val="3"/>
          </w:tcPr>
          <w:p w:rsidR="0047250C" w:rsidRPr="00230AF6" w:rsidRDefault="0047250C" w:rsidP="00E30B42">
            <w:r w:rsidRPr="00230AF6">
              <w:t>Подручје рада Електротехника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Електротехничар рачунара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4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>
              <w:t>Електротехничар информационих технологија</w:t>
            </w:r>
          </w:p>
        </w:tc>
        <w:tc>
          <w:tcPr>
            <w:tcW w:w="2566" w:type="dxa"/>
          </w:tcPr>
          <w:p w:rsidR="0047250C" w:rsidRPr="00230AF6" w:rsidRDefault="0047250C" w:rsidP="00E30B42">
            <w:r w:rsidRPr="00230AF6">
              <w:t>формално редовно образовање</w:t>
            </w:r>
            <w:r>
              <w:t xml:space="preserve"> (10 ученика)+ </w:t>
            </w:r>
            <w:r w:rsidRPr="00230AF6">
              <w:t>дуално образовање</w:t>
            </w:r>
            <w:r>
              <w:t xml:space="preserve"> (20 ученика)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4 године</w:t>
            </w:r>
          </w:p>
        </w:tc>
      </w:tr>
      <w:tr w:rsidR="0047250C" w:rsidRPr="00E705B3" w:rsidTr="00E30B42">
        <w:tc>
          <w:tcPr>
            <w:tcW w:w="3936" w:type="dxa"/>
          </w:tcPr>
          <w:p w:rsidR="0047250C" w:rsidRPr="0060722D" w:rsidRDefault="0047250C" w:rsidP="00E30B42">
            <w:r w:rsidRPr="0060722D">
              <w:t>Сервисер термичких и расхладних уређаја</w:t>
            </w:r>
          </w:p>
        </w:tc>
        <w:tc>
          <w:tcPr>
            <w:tcW w:w="2566" w:type="dxa"/>
          </w:tcPr>
          <w:p w:rsidR="0047250C" w:rsidRPr="00BD707F" w:rsidRDefault="00BD707F" w:rsidP="00E30B42">
            <w:r w:rsidRPr="00230AF6">
              <w:t xml:space="preserve">формално редовно образовање </w:t>
            </w:r>
            <w:r>
              <w:t>(I разред)</w:t>
            </w:r>
            <w:r>
              <w:br/>
            </w:r>
            <w:r w:rsidR="0047250C" w:rsidRPr="00230AF6">
              <w:t>дуално образовање</w:t>
            </w:r>
            <w:r>
              <w:t xml:space="preserve"> </w:t>
            </w:r>
            <w:r>
              <w:br/>
              <w:t>(II разред)</w:t>
            </w:r>
          </w:p>
        </w:tc>
        <w:tc>
          <w:tcPr>
            <w:tcW w:w="3252" w:type="dxa"/>
          </w:tcPr>
          <w:p w:rsidR="0047250C" w:rsidRPr="00230AF6" w:rsidRDefault="0047250C" w:rsidP="00E30B42">
            <w:r w:rsidRPr="00230AF6">
              <w:t>3 године</w:t>
            </w:r>
          </w:p>
        </w:tc>
      </w:tr>
    </w:tbl>
    <w:p w:rsidR="0047250C" w:rsidRDefault="0047250C" w:rsidP="0047250C"/>
    <w:p w:rsidR="0047250C" w:rsidRDefault="0047250C" w:rsidP="0047250C">
      <w:r>
        <w:t xml:space="preserve">Школа остварује и стручно оспособљавање за рад у трајању до годину дана за образовне профиле: </w:t>
      </w:r>
    </w:p>
    <w:p w:rsidR="0047250C" w:rsidRDefault="0047250C" w:rsidP="0047250C">
      <w:pPr>
        <w:numPr>
          <w:ilvl w:val="0"/>
          <w:numId w:val="1"/>
        </w:numPr>
      </w:pPr>
      <w:r>
        <w:t>помоћни бравар- заваривач,</w:t>
      </w:r>
    </w:p>
    <w:p w:rsidR="0047250C" w:rsidRDefault="0047250C" w:rsidP="0047250C">
      <w:pPr>
        <w:numPr>
          <w:ilvl w:val="0"/>
          <w:numId w:val="1"/>
        </w:numPr>
      </w:pPr>
      <w:r>
        <w:t>помоћни обрађивач метала резањем,</w:t>
      </w:r>
    </w:p>
    <w:p w:rsidR="0047250C" w:rsidRDefault="0047250C" w:rsidP="0047250C">
      <w:pPr>
        <w:numPr>
          <w:ilvl w:val="0"/>
          <w:numId w:val="1"/>
        </w:numPr>
      </w:pPr>
      <w:r>
        <w:t>помоћни механичар-монтер.</w:t>
      </w:r>
    </w:p>
    <w:p w:rsidR="0047250C" w:rsidRDefault="0047250C" w:rsidP="0047250C">
      <w:pPr>
        <w:ind w:left="720"/>
      </w:pPr>
    </w:p>
    <w:p w:rsidR="0047250C" w:rsidRDefault="0047250C" w:rsidP="0047250C">
      <w:r>
        <w:lastRenderedPageBreak/>
        <w:t>Школа  омогућава специјалистичко образовање након средњег образовања за образовне профиле:</w:t>
      </w:r>
    </w:p>
    <w:p w:rsidR="0047250C" w:rsidRDefault="0047250C" w:rsidP="0047250C">
      <w:pPr>
        <w:numPr>
          <w:ilvl w:val="0"/>
          <w:numId w:val="2"/>
        </w:numPr>
      </w:pPr>
      <w:r>
        <w:t>металостругар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металоглодач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металобушач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металобрусач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обрађивач метала на НУ машинама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бравар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заваривач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механичар алатних машина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механичар хидраулике и пнеуматике специјалиста,</w:t>
      </w:r>
    </w:p>
    <w:p w:rsidR="0047250C" w:rsidRDefault="0047250C" w:rsidP="0047250C">
      <w:pPr>
        <w:numPr>
          <w:ilvl w:val="0"/>
          <w:numId w:val="2"/>
        </w:numPr>
      </w:pPr>
      <w:r>
        <w:t>електроенергетичар за мреже и постројења.</w:t>
      </w:r>
    </w:p>
    <w:p w:rsidR="0047250C" w:rsidRDefault="0047250C" w:rsidP="0047250C"/>
    <w:p w:rsidR="0047250C" w:rsidRDefault="0047250C" w:rsidP="0047250C">
      <w:r>
        <w:t>Настава се одвија на српском језику.</w:t>
      </w:r>
    </w:p>
    <w:p w:rsidR="0047250C" w:rsidRPr="0047250C" w:rsidRDefault="0047250C"/>
    <w:p w:rsidR="00CB6481" w:rsidRPr="00BB197B" w:rsidRDefault="00CB6481" w:rsidP="00CB6481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43294025"/>
      <w:r w:rsidRPr="00BB197B">
        <w:rPr>
          <w:rFonts w:ascii="Times New Roman" w:hAnsi="Times New Roman"/>
          <w:b w:val="0"/>
          <w:sz w:val="28"/>
          <w:szCs w:val="28"/>
        </w:rPr>
        <w:t xml:space="preserve">III део: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BB197B">
        <w:rPr>
          <w:rFonts w:ascii="Times New Roman" w:hAnsi="Times New Roman"/>
          <w:b w:val="0"/>
          <w:sz w:val="28"/>
          <w:szCs w:val="28"/>
        </w:rPr>
        <w:t xml:space="preserve">бавезни и изборни предмети </w:t>
      </w:r>
      <w:r>
        <w:rPr>
          <w:rFonts w:ascii="Times New Roman" w:hAnsi="Times New Roman"/>
          <w:b w:val="0"/>
          <w:sz w:val="28"/>
          <w:szCs w:val="28"/>
        </w:rPr>
        <w:t xml:space="preserve">и модули </w:t>
      </w:r>
      <w:r w:rsidRPr="00BB197B">
        <w:rPr>
          <w:rFonts w:ascii="Times New Roman" w:hAnsi="Times New Roman"/>
          <w:b w:val="0"/>
          <w:sz w:val="28"/>
          <w:szCs w:val="28"/>
        </w:rPr>
        <w:t>по образовним профилима</w:t>
      </w:r>
      <w:bookmarkEnd w:id="3"/>
    </w:p>
    <w:p w:rsidR="00CB6481" w:rsidRPr="00A2578A" w:rsidRDefault="00CB6481" w:rsidP="00CB6481">
      <w:pPr>
        <w:pStyle w:val="Heading3"/>
        <w:rPr>
          <w:rFonts w:ascii="Times New Roman" w:hAnsi="Times New Roman"/>
          <w:b w:val="0"/>
          <w:iCs/>
          <w:sz w:val="24"/>
          <w:szCs w:val="24"/>
          <w:lang w:val="sr-Cyrl-CS"/>
        </w:rPr>
      </w:pPr>
      <w:bookmarkStart w:id="4" w:name="_Toc380750743"/>
      <w:bookmarkStart w:id="5" w:name="_Toc43294026"/>
      <w:r w:rsidRPr="00A2578A">
        <w:rPr>
          <w:rFonts w:ascii="Times New Roman" w:hAnsi="Times New Roman"/>
          <w:b w:val="0"/>
          <w:iCs/>
          <w:sz w:val="24"/>
          <w:szCs w:val="24"/>
          <w:lang w:val="sr-Cyrl-CS"/>
        </w:rPr>
        <w:t>Наставни план обавезне наставе</w:t>
      </w:r>
      <w:bookmarkEnd w:id="4"/>
      <w:r w:rsidRPr="00A2578A">
        <w:rPr>
          <w:rFonts w:ascii="Times New Roman" w:hAnsi="Times New Roman"/>
          <w:b w:val="0"/>
          <w:iCs/>
          <w:sz w:val="24"/>
          <w:szCs w:val="24"/>
          <w:lang w:val="sr-Cyrl-CS"/>
        </w:rPr>
        <w:t>, изборних предмета и модула дат је у Службеном Гласнику РС према следећој табели:</w:t>
      </w:r>
      <w:bookmarkEnd w:id="5"/>
    </w:p>
    <w:p w:rsidR="00CB6481" w:rsidRPr="00A2578A" w:rsidRDefault="00CB6481" w:rsidP="00CB64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082"/>
      </w:tblGrid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Назив</w:t>
            </w:r>
          </w:p>
        </w:tc>
        <w:tc>
          <w:tcPr>
            <w:tcW w:w="5082" w:type="dxa"/>
          </w:tcPr>
          <w:p w:rsidR="00CB6481" w:rsidRPr="00A2578A" w:rsidRDefault="00CB6481" w:rsidP="00E30B42"/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Машински техничар за комјутерско конструисање</w:t>
            </w:r>
          </w:p>
        </w:tc>
        <w:tc>
          <w:tcPr>
            <w:tcW w:w="5082" w:type="dxa"/>
          </w:tcPr>
          <w:p w:rsidR="001A0D65" w:rsidRPr="00BD707F" w:rsidRDefault="00BD707F" w:rsidP="001A0D65">
            <w:pPr>
              <w:rPr>
                <w:rFonts w:cs="Times New Roman"/>
                <w:shd w:val="clear" w:color="auto" w:fill="FFFFFF"/>
              </w:rPr>
            </w:pPr>
            <w:r w:rsidRPr="001A0D65">
              <w:rPr>
                <w:rFonts w:cs="Times New Roman"/>
                <w:color w:val="222222"/>
              </w:rPr>
              <w:t>за  I и II</w:t>
            </w:r>
            <w:r>
              <w:rPr>
                <w:rFonts w:cs="Times New Roman"/>
                <w:color w:val="222222"/>
              </w:rPr>
              <w:t xml:space="preserve"> разред општепобразовни предмети-</w:t>
            </w:r>
            <w:r>
              <w:rPr>
                <w:rFonts w:cs="Times New Roman"/>
                <w:color w:val="222222"/>
              </w:rPr>
              <w:br/>
            </w:r>
            <w:r w:rsidR="001A0D65" w:rsidRPr="001A0D65">
              <w:rPr>
                <w:rFonts w:cs="Times New Roman"/>
                <w:shd w:val="clear" w:color="auto" w:fill="FFFFFF"/>
              </w:rPr>
              <w:t>Сл. Гласник РС – Просветни гласник 12/2021</w:t>
            </w:r>
          </w:p>
          <w:p w:rsidR="001A0D65" w:rsidRPr="00BD707F" w:rsidRDefault="00BD707F" w:rsidP="001A0D65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1A0D65">
              <w:rPr>
                <w:rFonts w:cs="Times New Roman"/>
                <w:color w:val="222222"/>
              </w:rPr>
              <w:t>за  I и II</w:t>
            </w:r>
            <w:r>
              <w:rPr>
                <w:rFonts w:cs="Times New Roman"/>
                <w:color w:val="222222"/>
              </w:rPr>
              <w:t xml:space="preserve"> разред </w:t>
            </w:r>
            <w:r w:rsidR="001A0D65" w:rsidRPr="001A0D65">
              <w:rPr>
                <w:rFonts w:cs="Times New Roman"/>
                <w:color w:val="222222"/>
              </w:rPr>
              <w:t xml:space="preserve">стручни </w:t>
            </w:r>
            <w:r>
              <w:rPr>
                <w:rFonts w:cs="Times New Roman"/>
                <w:color w:val="222222"/>
              </w:rPr>
              <w:t>предмети-</w:t>
            </w:r>
            <w:r>
              <w:rPr>
                <w:rFonts w:cs="Times New Roman"/>
                <w:color w:val="222222"/>
              </w:rPr>
              <w:br/>
              <w:t xml:space="preserve"> </w:t>
            </w:r>
            <w:r w:rsidRPr="001A0D65">
              <w:rPr>
                <w:rFonts w:cs="Times New Roman"/>
                <w:shd w:val="clear" w:color="auto" w:fill="FFFFFF"/>
              </w:rPr>
              <w:t>Сл. Гласник РС – Просветни гласник </w:t>
            </w:r>
            <w:r w:rsidR="001A0D65" w:rsidRPr="001A0D65">
              <w:rPr>
                <w:rFonts w:cs="Times New Roman"/>
                <w:color w:val="222222"/>
              </w:rPr>
              <w:t xml:space="preserve"> 9/20213. </w:t>
            </w:r>
            <w:r>
              <w:rPr>
                <w:rFonts w:cs="Times New Roman"/>
                <w:color w:val="222222"/>
              </w:rPr>
              <w:t>разред школске 2021/22.год.</w:t>
            </w:r>
          </w:p>
          <w:p w:rsidR="00BD707F" w:rsidRPr="00BD707F" w:rsidRDefault="00BD707F" w:rsidP="00BD707F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1A0D65">
              <w:rPr>
                <w:rFonts w:cs="Times New Roman"/>
                <w:color w:val="222222"/>
              </w:rPr>
              <w:t xml:space="preserve">за III и IV разред школске </w:t>
            </w:r>
            <w:r>
              <w:rPr>
                <w:rFonts w:cs="Times New Roman"/>
                <w:color w:val="222222"/>
              </w:rPr>
              <w:t>2021/22.год.</w:t>
            </w:r>
          </w:p>
          <w:p w:rsidR="00CB6481" w:rsidRPr="00A2578A" w:rsidRDefault="001A0D65" w:rsidP="00BD707F">
            <w:pPr>
              <w:shd w:val="clear" w:color="auto" w:fill="FFFFFF"/>
            </w:pPr>
            <w:r w:rsidRPr="001A0D65">
              <w:rPr>
                <w:rFonts w:cs="Times New Roman"/>
                <w:color w:val="222222"/>
              </w:rPr>
              <w:t>Сл. Гласник РС – Просветни гласник 9/2013 </w:t>
            </w:r>
          </w:p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Техничар за компјутерско управљање</w:t>
            </w:r>
          </w:p>
          <w:p w:rsidR="00CB6481" w:rsidRPr="00A2578A" w:rsidRDefault="00CB6481" w:rsidP="00E30B42">
            <w:r w:rsidRPr="00A2578A">
              <w:t>(CNC) машина</w:t>
            </w:r>
          </w:p>
        </w:tc>
        <w:tc>
          <w:tcPr>
            <w:tcW w:w="5082" w:type="dxa"/>
          </w:tcPr>
          <w:p w:rsidR="00BD707F" w:rsidRPr="00BD707F" w:rsidRDefault="00BD707F" w:rsidP="00BD707F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1A0D65">
              <w:rPr>
                <w:rFonts w:cs="Times New Roman"/>
                <w:color w:val="222222"/>
              </w:rPr>
              <w:t>за   II </w:t>
            </w:r>
            <w:r>
              <w:rPr>
                <w:rFonts w:cs="Times New Roman"/>
                <w:color w:val="222222"/>
              </w:rPr>
              <w:t>разред школске 2021/22.год.-</w:t>
            </w:r>
          </w:p>
          <w:p w:rsidR="001A0D65" w:rsidRPr="00BD707F" w:rsidRDefault="001A0D65" w:rsidP="00BD707F">
            <w:pPr>
              <w:rPr>
                <w:rFonts w:cs="Times New Roman"/>
                <w:shd w:val="clear" w:color="auto" w:fill="FFFFFF"/>
              </w:rPr>
            </w:pPr>
            <w:r w:rsidRPr="001A0D65">
              <w:rPr>
                <w:rFonts w:cs="Times New Roman"/>
                <w:color w:val="222222"/>
              </w:rPr>
              <w:t>Сл. Гласник РС – Просветни гласник 9/2020</w:t>
            </w:r>
            <w:r w:rsidR="00BD707F">
              <w:rPr>
                <w:rFonts w:cs="Times New Roman"/>
                <w:color w:val="222222"/>
              </w:rPr>
              <w:br/>
            </w:r>
            <w:r w:rsidR="00BD707F" w:rsidRPr="001A0D65">
              <w:rPr>
                <w:rFonts w:cs="Times New Roman"/>
                <w:shd w:val="clear" w:color="auto" w:fill="FFFFFF"/>
              </w:rPr>
              <w:t>за III и IV </w:t>
            </w:r>
            <w:r w:rsidR="00BD707F">
              <w:rPr>
                <w:rFonts w:cs="Times New Roman"/>
                <w:shd w:val="clear" w:color="auto" w:fill="FFFFFF"/>
              </w:rPr>
              <w:t>разред школске 2021/22.год.</w:t>
            </w:r>
          </w:p>
          <w:p w:rsidR="00CB6481" w:rsidRPr="00A2578A" w:rsidRDefault="001A0D65" w:rsidP="00BD707F">
            <w:bookmarkStart w:id="6" w:name="_GoBack"/>
            <w:r w:rsidRPr="001A0D65">
              <w:rPr>
                <w:rFonts w:cs="Times New Roman"/>
                <w:shd w:val="clear" w:color="auto" w:fill="FFFFFF"/>
              </w:rPr>
              <w:t>Сл. Гласник РС – Просветни гласник </w:t>
            </w:r>
            <w:r w:rsidR="00BD707F">
              <w:rPr>
                <w:rFonts w:cs="Times New Roman"/>
                <w:shd w:val="clear" w:color="auto" w:fill="FFFFFF"/>
              </w:rPr>
              <w:t xml:space="preserve"> </w:t>
            </w:r>
            <w:r w:rsidRPr="001A0D65">
              <w:rPr>
                <w:rFonts w:cs="Times New Roman"/>
                <w:shd w:val="clear" w:color="auto" w:fill="FFFFFF"/>
              </w:rPr>
              <w:t>6/2018</w:t>
            </w:r>
            <w:r w:rsidR="00BD707F">
              <w:rPr>
                <w:rFonts w:cs="Times New Roman"/>
                <w:shd w:val="clear" w:color="auto" w:fill="FFFFFF"/>
              </w:rPr>
              <w:t xml:space="preserve">  </w:t>
            </w:r>
            <w:bookmarkEnd w:id="6"/>
            <w:r w:rsidR="00BD707F" w:rsidRPr="00A2578A">
              <w:t xml:space="preserve"> </w:t>
            </w:r>
          </w:p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Машинбравар</w:t>
            </w:r>
          </w:p>
        </w:tc>
        <w:tc>
          <w:tcPr>
            <w:tcW w:w="5082" w:type="dxa"/>
          </w:tcPr>
          <w:p w:rsidR="00CB6481" w:rsidRPr="00A2578A" w:rsidRDefault="00CB6481" w:rsidP="00E30B42">
            <w:r w:rsidRPr="00A2578A">
              <w:t>Сл. Гласник РС – Просветни гласник 6/2018</w:t>
            </w:r>
          </w:p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Заваривач</w:t>
            </w:r>
          </w:p>
        </w:tc>
        <w:tc>
          <w:tcPr>
            <w:tcW w:w="5082" w:type="dxa"/>
          </w:tcPr>
          <w:p w:rsidR="00CB6481" w:rsidRPr="00A2578A" w:rsidRDefault="00CB6481" w:rsidP="00E30B42">
            <w:r w:rsidRPr="00A2578A">
              <w:t>Сл. Гласник РС – Просветни гласник 6/2018</w:t>
            </w:r>
          </w:p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Електротехничар рачунара</w:t>
            </w:r>
          </w:p>
        </w:tc>
        <w:tc>
          <w:tcPr>
            <w:tcW w:w="5082" w:type="dxa"/>
          </w:tcPr>
          <w:p w:rsidR="00CB6481" w:rsidRPr="00BB45FC" w:rsidRDefault="00CB6481" w:rsidP="00E30B42">
            <w:r w:rsidRPr="00A2578A">
              <w:t>Сл. Гласник РС – Просветни гласник 11/201</w:t>
            </w:r>
            <w:r w:rsidR="00BB45FC">
              <w:t>8</w:t>
            </w:r>
          </w:p>
        </w:tc>
      </w:tr>
      <w:tr w:rsidR="00CB6481" w:rsidRPr="00A2578A" w:rsidTr="00E30B42">
        <w:tc>
          <w:tcPr>
            <w:tcW w:w="3936" w:type="dxa"/>
          </w:tcPr>
          <w:p w:rsidR="00CB6481" w:rsidRPr="00A2578A" w:rsidRDefault="00CB6481" w:rsidP="00E30B42">
            <w:r w:rsidRPr="00A2578A">
              <w:t>Сервисер термичких и расхладних уређаја</w:t>
            </w:r>
          </w:p>
        </w:tc>
        <w:tc>
          <w:tcPr>
            <w:tcW w:w="5082" w:type="dxa"/>
          </w:tcPr>
          <w:p w:rsidR="00CB6481" w:rsidRPr="00A2578A" w:rsidRDefault="00CB6481" w:rsidP="00E30B42">
            <w:r w:rsidRPr="00A2578A">
              <w:t>Сл. Гласник РС – Просветни гласник 7/2019</w:t>
            </w:r>
          </w:p>
        </w:tc>
      </w:tr>
      <w:tr w:rsidR="00BB45FC" w:rsidRPr="00A2578A" w:rsidTr="00E30B42">
        <w:tc>
          <w:tcPr>
            <w:tcW w:w="3936" w:type="dxa"/>
          </w:tcPr>
          <w:p w:rsidR="00BB45FC" w:rsidRPr="00BB45FC" w:rsidRDefault="00BB45FC" w:rsidP="00E30B42">
            <w:r>
              <w:t>Електротехничар информационих технологија</w:t>
            </w:r>
          </w:p>
        </w:tc>
        <w:tc>
          <w:tcPr>
            <w:tcW w:w="5082" w:type="dxa"/>
          </w:tcPr>
          <w:p w:rsidR="00BD707F" w:rsidRDefault="00BD707F" w:rsidP="00BD707F">
            <w:r>
              <w:t>општеобразовни предмети</w:t>
            </w:r>
          </w:p>
          <w:p w:rsidR="00BB45FC" w:rsidRDefault="00BB45FC" w:rsidP="00BB45FC">
            <w:r w:rsidRPr="00A2578A">
              <w:t xml:space="preserve">Сл. Гласник РС – Просветни гласник </w:t>
            </w:r>
            <w:r>
              <w:t>1/2018</w:t>
            </w:r>
          </w:p>
          <w:p w:rsidR="00BD707F" w:rsidRDefault="00BD707F" w:rsidP="00BB45FC">
            <w:r>
              <w:t>стручни предмети</w:t>
            </w:r>
          </w:p>
          <w:p w:rsidR="00BB45FC" w:rsidRDefault="00BB45FC" w:rsidP="00BB45FC">
            <w:r w:rsidRPr="00A2578A">
              <w:t xml:space="preserve">Сл. Гласник РС – Просветни гласник </w:t>
            </w:r>
            <w:r>
              <w:t>9/2018</w:t>
            </w:r>
          </w:p>
          <w:p w:rsidR="00BB45FC" w:rsidRPr="00BB45FC" w:rsidRDefault="00BB45FC" w:rsidP="00BD707F"/>
        </w:tc>
      </w:tr>
    </w:tbl>
    <w:p w:rsidR="00CB6481" w:rsidRDefault="00CB6481" w:rsidP="00CB6481">
      <w:pPr>
        <w:rPr>
          <w:rFonts w:cs="Times New Roman"/>
          <w:sz w:val="20"/>
          <w:szCs w:val="20"/>
        </w:rPr>
      </w:pPr>
    </w:p>
    <w:p w:rsidR="00CB6481" w:rsidRDefault="00CB6481"/>
    <w:p w:rsidR="0004476F" w:rsidRDefault="00BD707F">
      <w:r>
        <w:lastRenderedPageBreak/>
        <w:br/>
      </w:r>
      <w:r w:rsidR="0004476F" w:rsidRPr="0004476F">
        <w:t>VIII део: Програм слободних активности</w:t>
      </w:r>
      <w:r w:rsidR="0004476F">
        <w:t xml:space="preserve"> се допуњава следећим пасусом:</w:t>
      </w:r>
    </w:p>
    <w:p w:rsidR="00BD707F" w:rsidRPr="00BD707F" w:rsidRDefault="001E2EAE">
      <w:pPr>
        <w:rPr>
          <w:i/>
        </w:rPr>
      </w:pPr>
      <w:r w:rsidRPr="00BD707F">
        <w:rPr>
          <w:i/>
        </w:rPr>
        <w:t>Једносменска органи</w:t>
      </w:r>
      <w:r w:rsidR="0004476F" w:rsidRPr="00BD707F">
        <w:rPr>
          <w:i/>
        </w:rPr>
        <w:t>зација рада</w:t>
      </w:r>
    </w:p>
    <w:p w:rsidR="0004476F" w:rsidRDefault="00BD707F">
      <w:r>
        <w:t>Једносменска организација рада</w:t>
      </w:r>
      <w:r w:rsidR="001E2EAE">
        <w:t xml:space="preserve"> са уводи са циљем пружања додатне образовно-васпитне подршке учењу и развоју ученика.</w:t>
      </w:r>
      <w:r w:rsidR="001E2EAE">
        <w:br/>
        <w:t>Одлуком министра број 111-01-00172/2019-15 од 28.02.2019. год. омогућено је да школе предложе различите моделе активности и програма који се могу реализовати новим приступом у организацији једносменског рада и средње школе, у оквиру кога се ученицима пружају различите врсте образовно- васпитне подршке у учењу, напредовању и укупном личном и социјалном развоју.</w:t>
      </w:r>
    </w:p>
    <w:p w:rsidR="0004476F" w:rsidRDefault="00D64ADC">
      <w:pPr>
        <w:rPr>
          <w:noProof/>
        </w:rPr>
      </w:pPr>
      <w:r>
        <w:rPr>
          <w:noProof/>
        </w:rPr>
        <w:t>Моде</w:t>
      </w:r>
      <w:r w:rsidR="001E2EAE">
        <w:rPr>
          <w:noProof/>
        </w:rPr>
        <w:t>ли програма и активности имају за циљ да допринесу развоју кључних компетенција за целоживотно учење и општих међупредметних компетенција, а посебно:</w:t>
      </w:r>
      <w:r w:rsidR="001E2EAE">
        <w:rPr>
          <w:noProof/>
        </w:rPr>
        <w:br/>
        <w:t>- постизању бољих обрљзовних постигнућа ученика</w:t>
      </w:r>
      <w:r w:rsidR="001E2EAE">
        <w:rPr>
          <w:noProof/>
        </w:rPr>
        <w:br/>
        <w:t>-превазилажењу препрека у учењу</w:t>
      </w:r>
    </w:p>
    <w:p w:rsidR="00D64ADC" w:rsidRDefault="00D64ADC">
      <w:pPr>
        <w:rPr>
          <w:noProof/>
        </w:rPr>
      </w:pPr>
      <w:r>
        <w:rPr>
          <w:noProof/>
        </w:rPr>
        <w:t>- развоју здравствено- хигијенских навика ученика и њиховог активог односа према очувању и развоју здравља</w:t>
      </w:r>
      <w:r>
        <w:rPr>
          <w:noProof/>
        </w:rPr>
        <w:br/>
        <w:t>- квалитетном планрању учења, слободних активности и слободног времена ученика</w:t>
      </w:r>
    </w:p>
    <w:p w:rsidR="00D64ADC" w:rsidRDefault="00D64ADC">
      <w:pPr>
        <w:rPr>
          <w:noProof/>
        </w:rPr>
      </w:pPr>
      <w:r>
        <w:rPr>
          <w:noProof/>
        </w:rPr>
        <w:t>- развоју социјалних вештина и тимског рада ученика</w:t>
      </w:r>
    </w:p>
    <w:p w:rsidR="00D64ADC" w:rsidRDefault="00D64ADC">
      <w:pPr>
        <w:rPr>
          <w:noProof/>
        </w:rPr>
      </w:pPr>
      <w:r>
        <w:rPr>
          <w:noProof/>
        </w:rPr>
        <w:t>- развоју предузетничког духа ученика</w:t>
      </w:r>
    </w:p>
    <w:p w:rsidR="00D64ADC" w:rsidRDefault="00D64ADC">
      <w:pPr>
        <w:rPr>
          <w:noProof/>
        </w:rPr>
      </w:pPr>
      <w:r>
        <w:rPr>
          <w:noProof/>
        </w:rPr>
        <w:t>- укупном личном и социјалном развоју ученика</w:t>
      </w:r>
    </w:p>
    <w:p w:rsidR="00D64ADC" w:rsidRDefault="00D64ADC">
      <w:pPr>
        <w:rPr>
          <w:noProof/>
        </w:rPr>
      </w:pPr>
      <w:r>
        <w:rPr>
          <w:noProof/>
        </w:rPr>
        <w:t>- промоцији активности ученичке задруге у школама у којима су основане</w:t>
      </w:r>
      <w:r>
        <w:rPr>
          <w:noProof/>
        </w:rPr>
        <w:br/>
        <w:t>- развоју квалитетније образовно- васпитне понуде</w:t>
      </w:r>
      <w:r w:rsidR="00BD707F">
        <w:rPr>
          <w:noProof/>
        </w:rPr>
        <w:t>.</w:t>
      </w:r>
    </w:p>
    <w:p w:rsidR="00D64ADC" w:rsidRPr="001E2EAE" w:rsidRDefault="00D64ADC"/>
    <w:p w:rsidR="001E2EAE" w:rsidRDefault="001E2EAE"/>
    <w:p w:rsidR="001E2EAE" w:rsidRDefault="001E2EAE"/>
    <w:p w:rsidR="001E2EAE" w:rsidRDefault="001E2EAE"/>
    <w:p w:rsidR="001E2EAE" w:rsidRPr="0004476F" w:rsidRDefault="001E2EAE"/>
    <w:sectPr w:rsidR="001E2EAE" w:rsidRPr="0004476F" w:rsidSect="006B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6A0"/>
    <w:multiLevelType w:val="hybridMultilevel"/>
    <w:tmpl w:val="9BE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46E1"/>
    <w:multiLevelType w:val="hybridMultilevel"/>
    <w:tmpl w:val="AC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C2E"/>
    <w:rsid w:val="0004476F"/>
    <w:rsid w:val="00162C2E"/>
    <w:rsid w:val="001A0D65"/>
    <w:rsid w:val="001E2EAE"/>
    <w:rsid w:val="00330EA9"/>
    <w:rsid w:val="0047250C"/>
    <w:rsid w:val="006B377E"/>
    <w:rsid w:val="00930BDC"/>
    <w:rsid w:val="00A67515"/>
    <w:rsid w:val="00B55E93"/>
    <w:rsid w:val="00BB45FC"/>
    <w:rsid w:val="00BD707F"/>
    <w:rsid w:val="00CB6481"/>
    <w:rsid w:val="00D64ADC"/>
    <w:rsid w:val="00F0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CB6481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6481"/>
    <w:pPr>
      <w:keepNext/>
      <w:spacing w:before="240" w:after="60"/>
      <w:outlineLvl w:val="2"/>
    </w:pPr>
    <w:rPr>
      <w:rFonts w:ascii="Arial" w:hAnsi="Arial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481"/>
    <w:rPr>
      <w:rFonts w:ascii="Arial" w:eastAsia="Times New Roman" w:hAnsi="Arial" w:cs="Times New Roman"/>
      <w:b/>
      <w:bCs/>
      <w:kern w:val="32"/>
      <w:sz w:val="32"/>
      <w:szCs w:val="32"/>
      <w:lang w:val="sr-Latn-CS"/>
    </w:rPr>
  </w:style>
  <w:style w:type="character" w:customStyle="1" w:styleId="Heading3Char">
    <w:name w:val="Heading 3 Char"/>
    <w:basedOn w:val="DefaultParagraphFont"/>
    <w:link w:val="Heading3"/>
    <w:rsid w:val="00CB6481"/>
    <w:rPr>
      <w:rFonts w:ascii="Arial" w:eastAsia="Times New Roman" w:hAnsi="Arial" w:cs="Times New Roman"/>
      <w:b/>
      <w:bCs/>
      <w:sz w:val="20"/>
      <w:szCs w:val="26"/>
      <w:lang w:val="sr-Latn-CS"/>
    </w:rPr>
  </w:style>
  <w:style w:type="character" w:styleId="Strong">
    <w:name w:val="Strong"/>
    <w:basedOn w:val="DefaultParagraphFont"/>
    <w:uiPriority w:val="22"/>
    <w:qFormat/>
    <w:rsid w:val="00CB6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F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6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CB6481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CB6481"/>
    <w:pPr>
      <w:keepNext/>
      <w:spacing w:before="240" w:after="60"/>
      <w:outlineLvl w:val="2"/>
    </w:pPr>
    <w:rPr>
      <w:rFonts w:ascii="Arial" w:hAnsi="Arial" w:cs="Times New Roman"/>
      <w:b/>
      <w:bCs/>
      <w:sz w:val="20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481"/>
    <w:rPr>
      <w:rFonts w:ascii="Arial" w:eastAsia="Times New Roman" w:hAnsi="Arial" w:cs="Times New Roman"/>
      <w:b/>
      <w:bCs/>
      <w:kern w:val="32"/>
      <w:sz w:val="32"/>
      <w:szCs w:val="32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rsid w:val="00CB6481"/>
    <w:rPr>
      <w:rFonts w:ascii="Arial" w:eastAsia="Times New Roman" w:hAnsi="Arial" w:cs="Times New Roman"/>
      <w:b/>
      <w:bCs/>
      <w:sz w:val="20"/>
      <w:szCs w:val="26"/>
      <w:lang w:val="sr-Latn-CS" w:eastAsia="x-none"/>
    </w:rPr>
  </w:style>
  <w:style w:type="character" w:styleId="Strong">
    <w:name w:val="Strong"/>
    <w:basedOn w:val="DefaultParagraphFont"/>
    <w:uiPriority w:val="22"/>
    <w:qFormat/>
    <w:rsid w:val="00CB6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6F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6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NiM</cp:lastModifiedBy>
  <cp:revision>3</cp:revision>
  <cp:lastPrinted>2021-10-05T20:19:00Z</cp:lastPrinted>
  <dcterms:created xsi:type="dcterms:W3CDTF">2021-10-05T20:20:00Z</dcterms:created>
  <dcterms:modified xsi:type="dcterms:W3CDTF">2021-10-08T16:16:00Z</dcterms:modified>
</cp:coreProperties>
</file>